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1.jpg" ContentType="image/jpeg"/>
  <Override PartName="/word/media/rId34.jpg" ContentType="image/jpeg"/>
  <Override PartName="/word/media/rId37.jpg" ContentType="image/jpeg"/>
  <Override PartName="/word/media/rId41.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 :</w:t>
      </w:r>
    </w:p>
    <w:p>
      <w:pPr>
        <w:pStyle w:val="BodyText"/>
      </w:pPr>
      <w:r>
        <w:t xml:space="preserve">Luca L. Morreale</w:t>
      </w:r>
      <w:r>
        <w:rPr>
          <w:vertAlign w:val="superscript"/>
        </w:rPr>
        <w:t xml:space="preserve">1,2</w:t>
      </w:r>
      <w:r>
        <w:t xml:space="preserve">*</w:t>
      </w:r>
    </w:p>
    <w:p>
      <w:pPr>
        <w:pStyle w:val="BodyText"/>
      </w:pPr>
      <w:r>
        <w:t xml:space="preserve">Rachel Hoffman</w:t>
      </w:r>
      <w:r>
        <w:rPr>
          <w:vertAlign w:val="superscript"/>
        </w:rPr>
        <w:t xml:space="preserve">1</w:t>
      </w:r>
    </w:p>
    <w:p>
      <w:pPr>
        <w:pStyle w:val="BodyText"/>
      </w:pPr>
      <w:r>
        <w:t xml:space="preserve">Krystal Bagnaschi</w:t>
      </w:r>
      <w:r>
        <w:rPr>
          <w:vertAlign w:val="superscript"/>
        </w:rPr>
        <w:t xml:space="preserve">1</w:t>
      </w:r>
    </w:p>
    <w:p>
      <w:pPr>
        <w:pStyle w:val="BodyText"/>
      </w:pPr>
      <w:r>
        <w:t xml:space="preserve">Iris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pPr>
        <w:pStyle w:val="SourceCode"/>
      </w:pPr>
      <w:r>
        <w:rPr>
          <w:rStyle w:val="VerbatimChar"/>
        </w:rPr>
        <w:t xml:space="preserve">## ── Attaching core tidyverse packages ──────────────────────── tidyverse 2.0.0 ──</w:t>
      </w:r>
      <w:r>
        <w:br/>
      </w:r>
      <w:r>
        <w:rPr>
          <w:rStyle w:val="VerbatimChar"/>
        </w:rPr>
        <w:t xml:space="preserve">## ✔ dplyr     1.1.3     ✔ readr     2.1.3</w:t>
      </w:r>
      <w:r>
        <w:br/>
      </w:r>
      <w:r>
        <w:rPr>
          <w:rStyle w:val="VerbatimChar"/>
        </w:rPr>
        <w:t xml:space="preserve">## ✔ forcats   1.0.0     ✔ stringr   1.5.0</w:t>
      </w:r>
      <w:r>
        <w:br/>
      </w:r>
      <w:r>
        <w:rPr>
          <w:rStyle w:val="VerbatimChar"/>
        </w:rPr>
        <w:t xml:space="preserve">## ✔ ggplot2   3.4.4     ✔ tibble    3.2.1</w:t>
      </w:r>
      <w:r>
        <w:br/>
      </w:r>
      <w:r>
        <w:rPr>
          <w:rStyle w:val="VerbatimChar"/>
        </w:rPr>
        <w:t xml:space="preserve">## ✔ lubridate 1.9.0     ✔ tidyr     1.3.0</w:t>
      </w:r>
      <w:r>
        <w:br/>
      </w:r>
      <w:r>
        <w:rPr>
          <w:rStyle w:val="VerbatimChar"/>
        </w:rPr>
        <w:t xml:space="preserve">## ✔ purrr     1.0.1     </w:t>
      </w:r>
      <w:r>
        <w:br/>
      </w:r>
      <w:r>
        <w:rPr>
          <w:rStyle w:val="VerbatimChar"/>
        </w:rPr>
        <w:t xml:space="preserve">## ── Conflicts ────────────────────────────────────────── tidyverse_conflicts() ──</w:t>
      </w:r>
      <w:r>
        <w:br/>
      </w:r>
      <w:r>
        <w:rPr>
          <w:rStyle w:val="VerbatimChar"/>
        </w:rPr>
        <w:t xml:space="preserve">## ✖ dplyr::filter() masks stats::filter()</w:t>
      </w:r>
      <w:r>
        <w:br/>
      </w:r>
      <w:r>
        <w:rPr>
          <w:rStyle w:val="VerbatimChar"/>
        </w:rPr>
        <w:t xml:space="preserve">## ✖ dplyr::lag()    masks stats::lag()</w:t>
      </w:r>
      <w:r>
        <w:br/>
      </w:r>
      <w:r>
        <w:rPr>
          <w:rStyle w:val="VerbatimChar"/>
        </w:rPr>
        <w:t xml:space="preserve">## ℹ Use the conflicted package (&lt;http://conflicted.r-lib.org/&gt;) to force all conflicts to become errors</w:t>
      </w:r>
    </w:p>
    <w:p>
      <w:r>
        <w:br w:type="page"/>
      </w:r>
    </w:p>
    <w:p>
      <w:pPr>
        <w:pStyle w:val="FirstParagraph"/>
      </w:pPr>
      <w:r>
        <w:rPr>
          <w:iCs/>
          <w:i/>
        </w:rPr>
        <w:t xml:space="preserve">(Word limit: 6,500 words)</w:t>
      </w:r>
    </w:p>
    <w:bookmarkStart w:id="22" w:name="Abstract"/>
    <w:p>
      <w:pPr>
        <w:pStyle w:val="Heading1"/>
      </w:pPr>
      <w:r>
        <w:t xml:space="preserve">Summary</w:t>
      </w:r>
    </w:p>
    <w:p>
      <w:pPr>
        <w:pStyle w:val="FirstParagraph"/>
      </w:pPr>
      <w:r>
        <w:rPr>
          <w:iCs/>
          <w:i/>
        </w:rPr>
        <w:t xml:space="preserve">Summary format for New Phytologist must be under 200 words and should be organized using four bullet points to indicate: (1) the research conducted, including the rationale, (2) methods, (3) key results, and (4) the main conclusion, including the key points of discussion</w:t>
      </w:r>
    </w:p>
    <w:p>
      <w:pPr>
        <w:pStyle w:val="BodyText"/>
      </w:pPr>
      <w:r>
        <w:t xml:space="preserve">Temperate deciduous forests play a critical role in the global carbon (C) cycle, accounting for a substantial portion of the global forest C sink. The dominant view imbued in Earth System Models is that, at least within the eastern United States, the biome is likely to remain a C sink throughout the 21st century. However, these models do not incorporate nuisance species –</w:t>
      </w:r>
      <w:r>
        <w:t xml:space="preserve"> </w:t>
      </w:r>
      <w:r>
        <w:rPr>
          <w:iCs/>
          <w:i/>
        </w:rPr>
        <w:t xml:space="preserve">i.e.</w:t>
      </w:r>
      <w:r>
        <w:t xml:space="preserve">, species whose local abundance has increased as a result of human activities and that are causing ecological harm. Nuisance species are known to increase tree mortality (</w:t>
      </w:r>
      <w:r>
        <w:rPr>
          <w:iCs/>
          <w:i/>
        </w:rPr>
        <w:t xml:space="preserve">e.g.</w:t>
      </w:r>
      <w:r>
        <w:t xml:space="preserve">, non-endemic pests and pathogens) and decrease recruitment (</w:t>
      </w:r>
      <w:r>
        <w:rPr>
          <w:iCs/>
          <w:i/>
        </w:rPr>
        <w:t xml:space="preserve">e.g.</w:t>
      </w:r>
      <w:r>
        <w:t xml:space="preserve">, deer and non-endemic plants) throughout the temperate deciduous biome, yet the net effect on current and future C cycling is unknown. Here, we use 15 years of detailed census data from a large (25.6 ha) forest dynamics plot in a Mid-Atlantic temperate forest, including a 4-ha deer exclosure, to understand how nuisance species are affecting C cycling. We show increased biomass mortality, a net reduction in aboveground C storage, and decreased abundance of canopy tree species in the understory. Under current trends this forest will continue to lose C sequestration capacity, indicating that the C sequestration of temperate deciduous forests is likely overestimated.</w:t>
      </w:r>
    </w:p>
    <w:p>
      <w:pPr>
        <w:pStyle w:val="BodyText"/>
      </w:pPr>
      <w:r>
        <w:rPr>
          <w:bCs/>
          <w:b/>
        </w:rPr>
        <w:t xml:space="preserve">Keywords</w:t>
      </w:r>
      <w:r>
        <w:t xml:space="preserve">:</w:t>
      </w:r>
    </w:p>
    <w:p>
      <w:pPr>
        <w:pStyle w:val="BodyText"/>
      </w:pPr>
      <w:r>
        <w:rPr>
          <w:iCs/>
          <w:i/>
        </w:rPr>
        <w:t xml:space="preserve">New Phytologist allows 5-8 keywords. Short phrases are acceptable</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One mechanism that is not represented in global C models is the impact of nuisance species – i.e., indigenous or non-indigenous species that, as a result of human influence, have much greater abundance in an ecosystem than they did historically, resulting in undesirable ecological consequences</w:t>
      </w:r>
      <w:r>
        <w:t xml:space="preserve"> </w:t>
      </w:r>
      <w:r>
        <w:t xml:space="preserve">(</w:t>
      </w:r>
      <w:r>
        <w:rPr>
          <w:bCs/>
          <w:b/>
        </w:rPr>
        <w:t xml:space="preserve">refs?</w:t>
      </w:r>
      <w:r>
        <w:t xml:space="preserve">)</w:t>
      </w:r>
      <w:r>
        <w:t xml:space="preserve">.</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non-indigenous plants,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successional trajectories, and geomorphic processes (Lovett et al. 2016, Fischer et al. 2013, Herms and McCullough 2014, Fei et al. 2014). Historically introduced to new ecosystems through intercontinental trade, non-indigenous forest insects and diseases will continue to proliferate with increased globalization and human movement (Fischer et al. 2013, Aukema et al. 2010, Brockerhoff et al. 2006). Many of the prominent pests and pathogens in temperate deciduous forests have dramatic effects on canopy composition and structure, decimating once-abundant canopy species (Aukema et. al 2010,Anderson-Teixeria 2021, Klooster et al. 2013, Ellison et al. 2018). Since many pests and pathogens do not currently occupy the full extent of their host species range, a significant portion of the remaining forest canopy is susceptible to future invasion from nuisance species, further increasing potentials for biomass loss and altered carbon cycle dynamics (Fei et al. 2013).</w:t>
      </w:r>
    </w:p>
    <w:p>
      <w:pPr>
        <w:pStyle w:val="BodyText"/>
      </w:pPr>
      <w:r>
        <w:t xml:space="preserve">White-tailed deer (</w:t>
      </w:r>
      <w:r>
        <w:rPr>
          <w:iCs/>
          <w:i/>
        </w:rPr>
        <w:t xml:space="preserve">Odocoileus virginianus</w:t>
      </w:r>
      <w:r>
        <w:t xml:space="preserve">) are a nuisance species prevalent in eastern deciduous forests.</w:t>
      </w:r>
      <w:r>
        <w:rPr>
          <w:iCs/>
          <w:i/>
        </w:rPr>
        <w:t xml:space="preserve">Start with a stronger sentence about the impact of deer on herbivory - Ex. White-tailed deer are the dominant herbivore in eastern deciduous forests (Reference)</w:t>
      </w:r>
      <w:r>
        <w:t xml:space="preserve"> </w:t>
      </w:r>
      <w:r>
        <w:t xml:space="preserve">Their populations have dramatically increased in the past 50 years (McShea et al. 1997).</w:t>
      </w:r>
      <w:r>
        <w:t xml:space="preserve"> </w:t>
      </w:r>
      <w:r>
        <w:rPr>
          <w:iCs/>
          <w:i/>
        </w:rPr>
        <w:t xml:space="preserve">Find a reference with a specific number of increase in deer populations</w:t>
      </w:r>
      <w:r>
        <w:t xml:space="preserve"> </w:t>
      </w:r>
      <w:r>
        <w:t xml:space="preserve">due in large part to global change drivers. (Found in McGarvey et al. 2013 – Brown et al. 2000, Côté et al. 2004, Rooney 2001). White-tailed deer preferentially browse on woody plant species in their earliest life stages (McGarvey et al. 2013), with overabundant herbivory reduce seedling and sapling survival, growth and density (Found in McGarvey et al. 2013 – Dzieciolowski 1980, Gill and Beardall 2001, Healy 1997, Konig 1976, Putman et al. 1989). Chronic overabundance has been shown to reduce understory diversity and decrease the abundance of traditionally dominant species (</w:t>
      </w:r>
      <w:r>
        <w:rPr>
          <w:iCs/>
          <w:i/>
        </w:rPr>
        <w:t xml:space="preserve">NEW CITATION</w:t>
      </w:r>
      <w:r>
        <w:t xml:space="preserve">). Due to climate change and human activity, many non-endemic plant species are being introduced or number in forest ecosystems (Reference). Deer find many of these species, including pawpaw (Asimina triloba), to be unpalatable (Found in McGarvey 2013 – Asnani 2006), and do not consume them at the same rates relative to their native counterparts (Reference), enabling them to form dense stands in forest understories (Found in Knauer et al. 2023 – Horsley and Marquis 1983; Stromayer and Warren 1997; Royo and Carson 2006). This lack of browsing pressure, coupled with characteristics such as fast growth rate and greater adaptability to altered conditions precipitated by climate change, allow nuisance plant species to outcompete other species in the understory (Reference). The interaction of these nuisance species on the landscape contributes to a recruitment failure in forests, [</w:t>
      </w:r>
      <w:r>
        <w:rPr>
          <w:iCs/>
          <w:i/>
        </w:rPr>
        <w:t xml:space="preserve">Where individuals from certain tree species do not enter the mature population - Do we need to define recruitment failure, or is that considered common knowledge? If so, reference</w:t>
      </w:r>
      <w:r>
        <w:t xml:space="preserve">). The extent of the consequences derived from recruitment failure on species composition and forest structure is often not apparent for years (McGarvey et al. 2013)</w:t>
      </w:r>
    </w:p>
    <w:p>
      <w:pPr>
        <w:pStyle w:val="BodyText"/>
      </w:pPr>
      <w:r>
        <w:t xml:space="preserve">The capacity to regenerate following disturbances, including ongoing gap formation through mortality of canopy trees, critically influences long-term forest dynamics.</w:t>
      </w:r>
      <w:r>
        <w:t xml:space="preserve"> </w:t>
      </w:r>
      <w:r>
        <w:t xml:space="preserve">Regeneration depends first upon seed production and then upon seedling recruitment, survival, and growth into trees.</w:t>
      </w:r>
      <w:r>
        <w:t xml:space="preserve"> </w:t>
      </w:r>
      <w:r>
        <w:t xml:space="preserve">When any one of these steps fails, the stage is set for disturbance to push forest ecosystems over a tipping point, whereby there is little chance that a forest will recover to it’s pre-disturbance state in the foreseeable future</w:t>
      </w:r>
      <w:r>
        <w:t xml:space="preserve"> </w:t>
      </w:r>
      <w:r>
        <w:t xml:space="preserve">(</w:t>
      </w:r>
      <w:r>
        <w:rPr>
          <w:bCs/>
          <w:b/>
        </w:rPr>
        <w:t xml:space="preserve">refs?</w:t>
      </w:r>
      <w:r>
        <w:t xml:space="preserve">)</w:t>
      </w:r>
      <w:r>
        <w:t xml:space="preserve">.</w:t>
      </w:r>
      <w:r>
        <w:t xml:space="preserve"> </w:t>
      </w:r>
      <w:r>
        <w:t xml:space="preserve">Global change pressures can set the stage for such critical transitions by gradually shifting baseline conditions, making post-disturbance recovery unlikely despite the persistence of mature trees</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w:t>
      </w:r>
      <w:r>
        <w:t xml:space="preserve"> </w:t>
      </w:r>
      <w:r>
        <w:rPr>
          <w:bCs/>
          <w:b/>
        </w:rPr>
        <w:t xml:space="preserve">refs?</w:t>
      </w:r>
      <w:r>
        <w:t xml:space="preserve">)</w:t>
      </w:r>
      <w:r>
        <w:t xml:space="preserve">.</w:t>
      </w:r>
      <w:r>
        <w:t xml:space="preserve"> </w:t>
      </w:r>
      <w:r>
        <w:t xml:space="preserve">In the mid-Atlantic region of eastern North America, forests face a severe</w:t>
      </w:r>
      <w:r>
        <w:t xml:space="preserve"> </w:t>
      </w:r>
      <w:r>
        <w:t xml:space="preserve">“</w:t>
      </w:r>
      <w:r>
        <w:t xml:space="preserve">regeneration debt</w:t>
      </w:r>
      <w:r>
        <w:t xml:space="preserve">”</w:t>
      </w:r>
      <w:r>
        <w:t xml:space="preserve">, meaning that there are insufficient juveniles of current canopy tree species to replace the mature cohort when they eventually die</w:t>
      </w:r>
      <w:r>
        <w:t xml:space="preserve"> </w:t>
      </w:r>
      <w:r>
        <w:t xml:space="preserve">(Miller &amp; McGill, 2019; Miller</w:t>
      </w:r>
      <w:r>
        <w:t xml:space="preserve"> </w:t>
      </w:r>
      <w:r>
        <w:rPr>
          <w:iCs/>
          <w:i/>
        </w:rPr>
        <w:t xml:space="preserve">et al.</w:t>
      </w:r>
      <w:r>
        <w:t xml:space="preserve">, 2023)</w:t>
      </w:r>
      <w:r>
        <w:t xml:space="preserve">.</w:t>
      </w:r>
      <w:r>
        <w:t xml:space="preserve"> </w:t>
      </w:r>
      <w:r>
        <w:t xml:space="preserve">Low juvenile abundance in the region is driven by a combination of over-abundant deer, competition with non-endemic species, and possibly climate change</w:t>
      </w:r>
      <w:r>
        <w:t xml:space="preserve"> </w:t>
      </w:r>
      <w:r>
        <w:t xml:space="preserve">(Russell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r>
        <w:t xml:space="preserve"> </w:t>
      </w:r>
      <w:r>
        <w:t xml:space="preserve">Deer are the biggest problem</w:t>
      </w:r>
      <w:r>
        <w:t xml:space="preserve"> </w:t>
      </w:r>
      <w:r>
        <w:t xml:space="preserve">(Gorchov</w:t>
      </w:r>
      <w:r>
        <w:t xml:space="preserve"> </w:t>
      </w:r>
      <w:r>
        <w:rPr>
          <w:iCs/>
          <w:i/>
        </w:rPr>
        <w:t xml:space="preserve">et al.</w:t>
      </w:r>
      <w:r>
        <w:t xml:space="preserve">, 2021)</w:t>
      </w:r>
      <w:r>
        <w:t xml:space="preserve">.</w:t>
      </w:r>
      <w:r>
        <w:t xml:space="preserve"> </w:t>
      </w:r>
      <w:r>
        <w:t xml:space="preserve">The juveniles that are present tend to represent a different, more mesophytic set of species (</w:t>
      </w:r>
      <w:r>
        <w:rPr>
          <w:iCs/>
          <w:i/>
        </w:rPr>
        <w:t xml:space="preserve">Acer spp.</w:t>
      </w:r>
      <w:r>
        <w:t xml:space="preserve">,</w:t>
      </w:r>
      <w:r>
        <w:t xml:space="preserve"> </w:t>
      </w:r>
      <w:r>
        <w:rPr>
          <w:iCs/>
          <w:i/>
        </w:rPr>
        <w:t xml:space="preserve">Fagus grandifolia</w:t>
      </w:r>
      <w:r>
        <w:t xml:space="preserve">) than currently dominate much of the region (</w:t>
      </w:r>
      <w:r>
        <w:rPr>
          <w:iCs/>
          <w:i/>
        </w:rPr>
        <w:t xml:space="preserve">Quercus spp.</w:t>
      </w:r>
      <w:r>
        <w:t xml:space="preserve">,</w:t>
      </w:r>
      <w:r>
        <w:t xml:space="preserve"> </w:t>
      </w:r>
      <w:r>
        <w:rPr>
          <w:iCs/>
          <w:i/>
        </w:rPr>
        <w:t xml:space="preserve">Carya spp.</w:t>
      </w:r>
      <w:r>
        <w:t xml:space="preserve">,</w:t>
      </w:r>
      <w:r>
        <w:t xml:space="preserve"> </w:t>
      </w:r>
      <w:r>
        <w:t xml:space="preserve">Miller &amp; McGill (2019)</w:t>
      </w:r>
      <w:r>
        <w:t xml:space="preserve">;</w:t>
      </w:r>
      <w:r>
        <w:t xml:space="preserve"> </w:t>
      </w:r>
      <w:r>
        <w:t xml:space="preserve">Nowacki &amp; Abrams (2015)</w:t>
      </w:r>
      <w:r>
        <w:t xml:space="preserve">]–a dynamic driven by fire suppression and mesophication</w:t>
      </w:r>
      <w:r>
        <w:t xml:space="preserve"> </w:t>
      </w:r>
      <w:r>
        <w:t xml:space="preserve">(</w:t>
      </w:r>
      <w:r>
        <w:rPr>
          <w:bCs/>
          <w:b/>
        </w:rPr>
        <w:t xml:space="preserve">refs?</w:t>
      </w:r>
      <w:r>
        <w:t xml:space="preserve">)</w:t>
      </w:r>
      <w:r>
        <w:t xml:space="preserve">.</w:t>
      </w:r>
    </w:p>
    <w:p>
      <w:pPr>
        <w:pStyle w:val="BodyText"/>
      </w:pPr>
      <w:r>
        <w:t xml:space="preserve">Understanding the combined effects of multiple nuisance species on forest ecosystem processes requires data on both the forest understory and canopy over extended time periods. Here, we use 15 years of detailed census data from a large forest dynamics plot including a 4-ha deer exclosure to test the following hypotheses: (1) Aboveground C stocks in living biomass have declined since the initial census (-∆AGB) (2) canopy tree mortality and associated woody biomass loss are increasing, in large part due to non-indigenous nuisance species (3) Recruitment and biomass gains from tree growth have not kept pace with tree mortality, suggesting that future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Large Forest Dynamics plot at the National Zoo and Conservation Biology Institute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plot, which is located in the central Appalachian Mountains adjacent to Shenandoah National Park, is composed of mature secondary eastern deciduous forest. Situated in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 (SI archives, Bourg et al. 2013). Natural disturbances at the plot consist of wind and infrequent ice storms (Anderson-Teixiera 2015).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promotes comparative forest ecology studies around the world.</w:t>
      </w:r>
    </w:p>
    <w:p>
      <w:pPr>
        <w:pStyle w:val="BodyText"/>
      </w:pPr>
      <w:r>
        <w:t xml:space="preserve">In addition to our consideration of the plot as a whole, we give special consideration to three portions of the plot, all upland forest (i.e., excluding low-lying areas around streams):</w:t>
      </w:r>
      <w:r>
        <w:t xml:space="preserve"> </w:t>
      </w:r>
      <w:r>
        <w:t xml:space="preserve">(1) Low deer, low canopy vulnerability: A 4-ha portion of upland forest in the SE quarter of the plot, fenced in 1990 and maintained with only occasional deer presence for the past 24 years that has a low abundance of canopy species vulnerable to non-indigenous pests and pathogens (Holm</w:t>
      </w:r>
      <w:r>
        <w:t xml:space="preserve"> </w:t>
      </w:r>
      <w:r>
        <w:rPr>
          <w:iCs/>
          <w:i/>
        </w:rPr>
        <w:t xml:space="preserve">et al.</w:t>
      </w:r>
      <w:r>
        <w:t xml:space="preserve"> </w:t>
      </w:r>
      <w:r>
        <w:t xml:space="preserve">2013);</w:t>
      </w:r>
      <w:r>
        <w:t xml:space="preserve"> </w:t>
      </w:r>
      <w:r>
        <w:t xml:space="preserve">(2) high deer, low canopy vulnerability: 16.3 ha of upland forest outside of the deer exclosure with low abundance of canopy species affected by non-indigenous pests and pathogens;</w:t>
      </w:r>
      <w:r>
        <w:t xml:space="preserve"> </w:t>
      </w:r>
      <w:r>
        <w:t xml:space="preserve">(3) high deer, high canopy vulnerability: 2.2 ha of upland forest outside the deer exclosure with high abundance of canopy species affected by non-indigenous pests and pathogens.</w:t>
      </w:r>
      <w:r>
        <w:t xml:space="preserve"> </w:t>
      </w:r>
      <w:r>
        <w:t xml:space="preserve">Upland forest was defined according to the topographic wetness index, originally calculated for the SCBI plot in</w:t>
      </w:r>
      <w:r>
        <w:t xml:space="preserve"> </w:t>
      </w:r>
      <w:r>
        <w:t xml:space="preserve">McGregor</w:t>
      </w:r>
      <w:r>
        <w:t xml:space="preserve"> </w:t>
      </w:r>
      <w:r>
        <w:rPr>
          <w:iCs/>
          <w:i/>
        </w:rPr>
        <w:t xml:space="preserve">et al.</w:t>
      </w:r>
      <w:r>
        <w:t xml:space="preserve"> </w:t>
      </w:r>
      <w:r>
        <w:t xml:space="preserve">(2021)</w:t>
      </w:r>
      <w:r>
        <w:t xml:space="preserve">.</w:t>
      </w:r>
      <w:r>
        <w:t xml:space="preserve"> </w:t>
      </w:r>
      <w:r>
        <w:t xml:space="preserve">Vulnerability to non-indigenous insects and pathogens was defined based on the abundance of canopy species affected by non-indigenous pests and pathogens at the time of plot establishment. The following canopy species were classified as affected: ash (</w:t>
      </w:r>
      <w:r>
        <w:rPr>
          <w:iCs/>
          <w:i/>
        </w:rPr>
        <w:t xml:space="preserve">Fraxinus</w:t>
      </w:r>
      <w:r>
        <w:t xml:space="preserve"> </w:t>
      </w:r>
      <w:r>
        <w:t xml:space="preserve">spp.), elm (</w:t>
      </w:r>
      <w:r>
        <w:rPr>
          <w:iCs/>
          <w:i/>
        </w:rPr>
        <w:t xml:space="preserve">Ulmus</w:t>
      </w:r>
      <w:r>
        <w:t xml:space="preserve"> </w:t>
      </w:r>
      <w:r>
        <w:t xml:space="preserve">spp.), butternut (</w:t>
      </w:r>
      <w:r>
        <w:rPr>
          <w:iCs/>
          <w:i/>
        </w:rPr>
        <w:t xml:space="preserve">Juglans cinerea</w:t>
      </w:r>
      <w:r>
        <w:t xml:space="preserve">), and American chestnut (</w:t>
      </w:r>
      <w:r>
        <w:rPr>
          <w:iCs/>
          <w:i/>
        </w:rPr>
        <w:t xml:space="preserve">Carya dentata</w:t>
      </w:r>
      <w:r>
        <w:t xml:space="preserve">).</w:t>
      </w:r>
    </w:p>
    <w:p>
      <w:pPr>
        <w:pStyle w:val="CaptionedFigure"/>
      </w:pPr>
      <w:r>
        <w:drawing>
          <wp:inline>
            <wp:extent cx="5943600" cy="4203059"/>
            <wp:effectExtent b="0" l="0" r="0" t="0"/>
            <wp:docPr descr="Figure 1. Map and photos of the Forest Global Earth Observatory (ForestGEO) plot at the Smithsonian Conservation Biology Institute (SCBI) in Virginia, USA. Our analysis focuses on three habitat types: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 Conservation Biology Institute (SCBI) in Virginia, USA.</w:t>
      </w:r>
      <w:r>
        <w:t xml:space="preserve"> </w:t>
      </w:r>
      <w:r>
        <w:t xml:space="preserve">Our analysis focuses on three habitat types: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according to the protocol detailed in Condit (1998). This inventory, hereafter referred to as the census, includes all stems greater than one centimeter in diameter at breast height (1.3 meters; dbh). The census records information regarding the dbh, species, living status and location of each stem included in the survey.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since, comprising 15 years of forest dynamics data. In the last census, data cleaning was continuously implemented 1) in an ESRI ArcGIS Field Maps application via built-in checks and 2) on a daily basis, via error reports generated by GitHub actions (Kim et al., 2022). Each individual’s location was recorded in the Field Maps application using a digitized map of the plot (</w:t>
      </w:r>
      <w:r>
        <w:rPr>
          <w:iCs/>
          <w:i/>
        </w:rPr>
        <w:t xml:space="preserve">citation</w:t>
      </w:r>
      <w:r>
        <w:t xml:space="preserve">). Additional checks and fixes were performed at the conclusion of the last census. In addition to the ForestGEO census, since 2014, a tree mortality survey has been conducted annually at the site. Initiated, in part, as a response to the presence of emerald ash borer (</w:t>
      </w:r>
      <w:r>
        <w:rPr>
          <w:iCs/>
          <w:i/>
        </w:rPr>
        <w:t xml:space="preserve">Agrilus planipennis</w:t>
      </w:r>
      <w:r>
        <w:t xml:space="preserve">), the mortality survey is conducted on all trees that had a dbh</w:t>
      </w:r>
      <w:r>
        <w:t xml:space="preserve"> </w:t>
      </w:r>
      <m:oMath>
        <m:r>
          <m:rPr>
            <m:sty m:val="p"/>
          </m:rPr>
          <m:t>≥</m:t>
        </m:r>
      </m:oMath>
      <w:r>
        <w:t xml:space="preserve"> </w:t>
      </w:r>
      <w:r>
        <w:t xml:space="preserve">10 centimeters in the previous census. Through assessing individual tree health, we document trends in forest mortality and identify factors that are associated with death. Data is collected on the current status, canopy position, percentage of crown living and intact, and visible indicators of poor tree health, such as physical damage, potential pathogens and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measured dbh of each stem in each census using extra-tropical allometric equations from the R package</w:t>
      </w:r>
      <w:r>
        <w:t xml:space="preserve"> </w:t>
      </w:r>
      <w:r>
        <w:rPr>
          <w:iCs/>
          <w:i/>
        </w:rPr>
        <w:t xml:space="preserve">allodb</w:t>
      </w:r>
      <w:r>
        <w:t xml:space="preserve"> </w:t>
      </w:r>
      <w:r>
        <w:t xml:space="preserve">(Gonzalez-Akre, 2024).</w:t>
      </w:r>
      <w:r>
        <w:t xml:space="preserve"> </w:t>
      </w:r>
      <w:r>
        <w:rPr>
          <w:iCs/>
          <w:i/>
        </w:rPr>
        <w:t xml:space="preserve">allodb</w:t>
      </w:r>
      <w:r>
        <w:t xml:space="preserve"> </w:t>
      </w:r>
      <w:r>
        <w:t xml:space="preserve">creates species-specific allometric equations through weighting of all applicable allometries within its database filtered by tree size, geography, and taxa information. Using the calculated stem AGB, we estimated AGB stocks at each census year for each of the plot regions and the plot as a whole. We evaluated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w:t>
      </w:r>
    </w:p>
    <w:p>
      <w:pPr>
        <w:pStyle w:val="BodyText"/>
      </w:pPr>
      <w:r>
        <w:t xml:space="preserve">In addition to the estimation of AWR biomass flux, we analyzed the effects of nuisance species on recruitment through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For each .4 hectare quadrat, we calculated the net change in AGB from 2008 to 2023 and AGB stock of canopy species in the understory in 2023.</w:t>
      </w:r>
    </w:p>
    <w:bookmarkEnd w:id="29"/>
    <w:bookmarkEnd w:id="30"/>
    <w:bookmarkStart w:id="49" w:name="results"/>
    <w:p>
      <w:pPr>
        <w:pStyle w:val="Heading1"/>
      </w:pPr>
      <w:r>
        <w:rPr>
          <w:rStyle w:val="SectionNumber"/>
        </w:rPr>
        <w:t xml:space="preserve">3</w:t>
      </w:r>
      <w:r>
        <w:tab/>
      </w:r>
      <w:r>
        <w:t xml:space="preserve">Results</w:t>
      </w:r>
    </w:p>
    <w:p>
      <w:pPr>
        <w:pStyle w:val="FirstParagraph"/>
      </w:pPr>
      <w:r>
        <w:t xml:space="preserve">For the first time since the establishment of the SCBI ForestGEO site, whole-plot aboveground C stocks decreased (Figure 2). From 2018 to 2023, whole-plot C stocks have decreased from 137.0718265 to 140.8547702 Mg C ha^-1. Both low-nuisance regions show similar decreases in C stocks going from</w:t>
      </w:r>
      <w:r>
        <w:t xml:space="preserve"> </w:t>
      </w:r>
      <w:r>
        <w:rPr>
          <w:bCs/>
          <w:b/>
        </w:rPr>
        <w:t xml:space="preserve">“</w:t>
      </w:r>
      <w:r>
        <w:rPr>
          <w:bCs/>
          <w:b/>
        </w:rPr>
        <w:t xml:space="preserve">X to X</w:t>
      </w:r>
      <w:r>
        <w:rPr>
          <w:bCs/>
          <w:b/>
        </w:rPr>
        <w:t xml:space="preserve">”</w:t>
      </w:r>
      <w:r>
        <w:t xml:space="preserve"> </w:t>
      </w:r>
      <w:r>
        <w:t xml:space="preserve">and</w:t>
      </w:r>
      <w:r>
        <w:t xml:space="preserve"> </w:t>
      </w:r>
      <w:r>
        <w:rPr>
          <w:bCs/>
          <w:b/>
        </w:rPr>
        <w:t xml:space="preserve">“</w:t>
      </w:r>
      <w:r>
        <w:rPr>
          <w:bCs/>
          <w:b/>
        </w:rPr>
        <w:t xml:space="preserve">X to X</w:t>
      </w:r>
      <w:r>
        <w:rPr>
          <w:bCs/>
          <w:b/>
        </w:rPr>
        <w:t xml:space="preserve">”</w:t>
      </w:r>
      <w:r>
        <w:t xml:space="preserve"> </w:t>
      </w:r>
      <w:r>
        <w:t xml:space="preserve">Mg C/ha, respectively. In the high deer high nuisance regions C stocks have decreased for the past two censuses, with a higher magnitude decrease of</w:t>
      </w:r>
      <w:r>
        <w:t xml:space="preserve"> </w:t>
      </w:r>
      <w:r>
        <w:rPr>
          <w:bCs/>
          <w:b/>
        </w:rPr>
        <w:t xml:space="preserve">“</w:t>
      </w:r>
      <w:r>
        <w:rPr>
          <w:bCs/>
          <w:b/>
        </w:rPr>
        <w:t xml:space="preserve">X to X</w:t>
      </w:r>
      <w:r>
        <w:rPr>
          <w:bCs/>
          <w:b/>
        </w:rPr>
        <w:t xml:space="preserve">”</w:t>
      </w:r>
      <w:r>
        <w:t xml:space="preserve"> </w:t>
      </w:r>
      <w:r>
        <w:t xml:space="preserve">Mg C/ha from 2018 to 2023. C stock decrease</w:t>
      </w:r>
      <w:r>
        <w:t xml:space="preserve"> </w:t>
      </w:r>
      <w:r>
        <w:rPr>
          <w:bCs/>
          <w:b/>
        </w:rPr>
        <w:t xml:space="preserve">is related to/ is explained by</w:t>
      </w:r>
      <w:r>
        <w:t xml:space="preserve"> </w:t>
      </w:r>
      <w:r>
        <w:t xml:space="preserve">above ground net biomass change. In the first two census intervals, 2008 to 2013 and 2013 to 2018, there were positive C fluxes, but for the 2018 to 2023 interval there was a negative C flux of</w:t>
      </w:r>
      <w:r>
        <w:t xml:space="preserve"> </w:t>
      </w:r>
      <w:r>
        <w:rPr>
          <w:bCs/>
          <w:b/>
        </w:rPr>
        <w:t xml:space="preserve">VALUE</w:t>
      </w:r>
      <w:r>
        <w:t xml:space="preserve"> </w:t>
      </w:r>
      <w:r>
        <w:t xml:space="preserve">Mg C/ha/year (Figure 3a).</w:t>
      </w:r>
    </w:p>
    <w:p>
      <w:pPr>
        <w:pStyle w:val="CaptionedFigure"/>
      </w:pPr>
      <w:r>
        <w:drawing>
          <wp:inline>
            <wp:extent cx="5943600" cy="6835140"/>
            <wp:effectExtent b="0" l="0" r="0" t="0"/>
            <wp:docPr descr="Figure 2. Aboveground biomass at the SCBI ForestGEO plot since 2008 establishment. Values are shown for the plot as a whole and for habitats differentiated by intensity of deer browsing and 2008 abundance of canopy tree species vulnerable to non-indigenous pests and pathogens." title="" id="32" name="Picture"/>
            <a:graphic>
              <a:graphicData uri="http://schemas.openxmlformats.org/drawingml/2006/picture">
                <pic:pic>
                  <pic:nvPicPr>
                    <pic:cNvPr descr="display/Figure2.jpeg" id="33" name="Picture"/>
                    <pic:cNvPicPr>
                      <a:picLocks noChangeArrowheads="1" noChangeAspect="1"/>
                    </pic:cNvPicPr>
                  </pic:nvPicPr>
                  <pic:blipFill>
                    <a:blip r:embed="rId31"/>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2. Aboveground biomass at the SCBI ForestGEO plot since 2008 establishment.</w:t>
      </w:r>
      <w:r>
        <w:t xml:space="preserve"> </w:t>
      </w:r>
      <w:r>
        <w:t xml:space="preserve">Values are shown for the plot as a whole and for habitats differentiated by intensity of deer browsing and 2008 abundance of canopy tree species vulnerable to non-indigenous pests and pathogens.</w:t>
      </w:r>
    </w:p>
    <w:p>
      <w:pPr>
        <w:pStyle w:val="BodyText"/>
      </w:pPr>
      <w:r>
        <w:t xml:space="preserve">The trend in net woody production can be explained by its constituent fluxes (Figure 3). Trends in woody mortality show that for the first two census intervals, the whole plot has lost</w:t>
      </w:r>
      <w:r>
        <w:t xml:space="preserve"> </w:t>
      </w:r>
      <w:r>
        <w:rPr>
          <w:bCs/>
          <w:b/>
        </w:rPr>
        <w:t xml:space="preserve">VALUE</w:t>
      </w:r>
      <w:r>
        <w:t xml:space="preserve"> </w:t>
      </w:r>
      <w:r>
        <w:t xml:space="preserve">and then</w:t>
      </w:r>
      <w:r>
        <w:t xml:space="preserve"> </w:t>
      </w:r>
      <w:r>
        <w:rPr>
          <w:bCs/>
          <w:b/>
        </w:rPr>
        <w:t xml:space="preserve">VALUE</w:t>
      </w:r>
      <w:r>
        <w:t xml:space="preserve"> </w:t>
      </w:r>
      <w:r>
        <w:t xml:space="preserve">Mg C/ha/year, increasing to a loss of</w:t>
      </w:r>
      <w:r>
        <w:t xml:space="preserve"> </w:t>
      </w:r>
      <w:r>
        <w:rPr>
          <w:bCs/>
          <w:b/>
        </w:rPr>
        <w:t xml:space="preserve">VALUE</w:t>
      </w:r>
      <w:r>
        <w:t xml:space="preserve"> </w:t>
      </w:r>
      <w:r>
        <w:t xml:space="preserve">Mg C/ha/year for the most recent census interval (Figure 3b). Woody productivity contributes positively to the flux, showing that the whole plot gained</w:t>
      </w:r>
      <w:r>
        <w:t xml:space="preserve"> </w:t>
      </w:r>
      <w:r>
        <w:rPr>
          <w:bCs/>
          <w:b/>
        </w:rPr>
        <w:t xml:space="preserve">VALUE</w:t>
      </w:r>
      <w:r>
        <w:t xml:space="preserve"> </w:t>
      </w:r>
      <w:r>
        <w:t xml:space="preserve">Mg C/ha/year in the first interval,</w:t>
      </w:r>
      <w:r>
        <w:t xml:space="preserve"> </w:t>
      </w:r>
      <w:r>
        <w:rPr>
          <w:bCs/>
          <w:b/>
        </w:rPr>
        <w:t xml:space="preserve">VALUE</w:t>
      </w:r>
      <w:r>
        <w:t xml:space="preserve"> </w:t>
      </w:r>
      <w:r>
        <w:t xml:space="preserve">Mg C/ha/year in the second, and</w:t>
      </w:r>
      <w:r>
        <w:t xml:space="preserve"> </w:t>
      </w:r>
      <w:r>
        <w:rPr>
          <w:bCs/>
          <w:b/>
        </w:rPr>
        <w:t xml:space="preserve">VALUE</w:t>
      </w:r>
      <w:r>
        <w:t xml:space="preserve"> </w:t>
      </w:r>
      <w:r>
        <w:t xml:space="preserve">Mg C/ha/year in the third (Figure 3c). Areas of low deer, low nuisance species were consistently the most productive ending at</w:t>
      </w:r>
      <w:r>
        <w:t xml:space="preserve"> </w:t>
      </w:r>
      <w:r>
        <w:rPr>
          <w:bCs/>
          <w:b/>
        </w:rPr>
        <w:t xml:space="preserve">VALUE</w:t>
      </w:r>
      <w:r>
        <w:t xml:space="preserve"> </w:t>
      </w:r>
      <w:r>
        <w:t xml:space="preserve">Mg C/ha/year in the interval 2018 to 2023, and areas of high deer, high nuisance species were the least productive at</w:t>
      </w:r>
      <w:r>
        <w:t xml:space="preserve"> </w:t>
      </w:r>
      <w:r>
        <w:rPr>
          <w:bCs/>
          <w:b/>
        </w:rPr>
        <w:t xml:space="preserve">VALUE</w:t>
      </w:r>
      <w:r>
        <w:t xml:space="preserve"> </w:t>
      </w:r>
      <w:r>
        <w:t xml:space="preserve">Mg C/ha/year in the interval 2018 to 2023. Recruitment has consistently added smaller magnitude amounts of carbon with the whole plot gaining</w:t>
      </w:r>
      <w:r>
        <w:t xml:space="preserve"> </w:t>
      </w:r>
      <w:r>
        <w:rPr>
          <w:bCs/>
          <w:b/>
        </w:rPr>
        <w:t xml:space="preserve">VALUE</w:t>
      </w:r>
      <w:r>
        <w:t xml:space="preserve"> </w:t>
      </w:r>
      <w:r>
        <w:t xml:space="preserve">Mg C/ha/year (Figure 3d). Recruitment was highest at</w:t>
      </w:r>
      <w:r>
        <w:t xml:space="preserve"> </w:t>
      </w:r>
      <w:r>
        <w:rPr>
          <w:bCs/>
          <w:b/>
        </w:rPr>
        <w:t xml:space="preserve">VALUE</w:t>
      </w:r>
      <w:r>
        <w:t xml:space="preserve"> </w:t>
      </w:r>
      <w:r>
        <w:t xml:space="preserve">Mg C/ha/year in areas with high deer and high vulnerable species, and lowest at</w:t>
      </w:r>
      <w:r>
        <w:t xml:space="preserve"> </w:t>
      </w:r>
      <w:r>
        <w:rPr>
          <w:bCs/>
          <w:b/>
        </w:rPr>
        <w:t xml:space="preserve">VALUE</w:t>
      </w:r>
      <w:r>
        <w:t xml:space="preserve"> </w:t>
      </w:r>
      <w:r>
        <w:t xml:space="preserve">Mg C/ha/year in areas with high deer and low vulnerable species.</w:t>
      </w:r>
    </w:p>
    <w:p>
      <w:pPr>
        <w:pStyle w:val="CaptionedFigure"/>
      </w:pPr>
      <w:r>
        <w:drawing>
          <wp:inline>
            <wp:extent cx="5943600" cy="4754880"/>
            <wp:effectExtent b="0" l="0" r="0" t="0"/>
            <wp:docPr descr="Figure 3. Changes in aboveground woody biomass at the SCBI ForestGEO plot over each census interval since 2008 establishment, including (a) net change, (b) losses to mortality, and gains from (c) woody productivity and (d) recruitment. Values are shown for the plot as a whole and for habitats differentiated by intensity of deer browsing and 2008 abundance of canopy tree species vulnerable to non-indigenous pests and pathogens." title="" id="35" name="Picture"/>
            <a:graphic>
              <a:graphicData uri="http://schemas.openxmlformats.org/drawingml/2006/picture">
                <pic:pic>
                  <pic:nvPicPr>
                    <pic:cNvPr descr="display/Figure3.jpeg" id="36"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iCs/>
          <w:i/>
          <w:bCs/>
          <w:b/>
        </w:rPr>
        <w:t xml:space="preserve">Figure 3.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habitats differentiated by intensity of deer browsing and 2008 abundance of canopy tree species vulnerable to non-indigenous pests and pathogens.</w:t>
      </w:r>
    </w:p>
    <w:bookmarkStart w:id="40" w:name="species-composition-of-mortality-flux"/>
    <w:p>
      <w:pPr>
        <w:pStyle w:val="Heading2"/>
      </w:pPr>
      <w:r>
        <w:rPr>
          <w:rStyle w:val="SectionNumber"/>
        </w:rPr>
        <w:t xml:space="preserve">3.1</w:t>
      </w:r>
      <w:r>
        <w:tab/>
      </w:r>
      <w:r>
        <w:t xml:space="preserve">Species composition of mortality flux</w:t>
      </w:r>
    </w:p>
    <w:p>
      <w:pPr>
        <w:pStyle w:val="FirstParagraph"/>
      </w:pPr>
      <w:r>
        <w:t xml:space="preserve">Woody mortality was the primary driver of the negative trend in biomass, and certain species were responsible for higher levels of mortality. Fraxinus americana had the highest aboveground woody mortality rates of any species present on the plot, peaking at</w:t>
      </w:r>
      <w:r>
        <w:t xml:space="preserve"> </w:t>
      </w:r>
      <w:r>
        <w:rPr>
          <w:bCs/>
          <w:b/>
        </w:rPr>
        <w:t xml:space="preserve">VALUE</w:t>
      </w:r>
      <w:r>
        <w:t xml:space="preserve"> </w:t>
      </w:r>
      <w:r>
        <w:t xml:space="preserve">Mg C/ha/year lost in</w:t>
      </w:r>
      <w:r>
        <w:t xml:space="preserve"> </w:t>
      </w:r>
      <w:r>
        <w:rPr>
          <w:iCs/>
          <w:i/>
        </w:rPr>
        <w:t xml:space="preserve">2020</w:t>
      </w:r>
      <w:r>
        <w:t xml:space="preserve"> </w:t>
      </w:r>
      <w:r>
        <w:t xml:space="preserve">, and</w:t>
      </w:r>
      <w:r>
        <w:t xml:space="preserve"> </w:t>
      </w:r>
      <w:r>
        <w:rPr>
          <w:bCs/>
          <w:b/>
        </w:rPr>
        <w:t xml:space="preserve">VALUE</w:t>
      </w:r>
      <w:r>
        <w:t xml:space="preserve"> </w:t>
      </w:r>
      <w:r>
        <w:t xml:space="preserve">Mg C/ha/year lost in 2022 (Figure 4). Quercus velutina contributed the second-highest levels of mortality, losing</w:t>
      </w:r>
      <w:r>
        <w:t xml:space="preserve"> </w:t>
      </w:r>
      <w:r>
        <w:rPr>
          <w:bCs/>
          <w:b/>
        </w:rPr>
        <w:t xml:space="preserve">VALUE</w:t>
      </w:r>
      <w:r>
        <w:t xml:space="preserve"> </w:t>
      </w:r>
      <w:r>
        <w:t xml:space="preserve">Mg C/ha/year in 2022. Quercus rubra, Carya species, Quercus prinus, Quercus alba, and Liriodendron tulipifera were all significant contributors as well.</w:t>
      </w:r>
    </w:p>
    <w:p>
      <w:pPr>
        <w:pStyle w:val="CaptionedFigure"/>
      </w:pPr>
      <w:r>
        <w:drawing>
          <wp:inline>
            <wp:extent cx="5943600" cy="3566160"/>
            <wp:effectExtent b="0" l="0" r="0" t="0"/>
            <wp:docPr descr="Figure 4. Annual woody mortality by species at the SCBI ForestGEO plot from 2008-2023. Shown are the seven canopy taxa with highest average mortality rate in descending order and a category including all others. The census included all stems ≥ 10cm in the most recent full census." title="" id="38" name="Picture"/>
            <a:graphic>
              <a:graphicData uri="http://schemas.openxmlformats.org/drawingml/2006/picture">
                <pic:pic>
                  <pic:nvPicPr>
                    <pic:cNvPr descr="display/Figure4.jpeg" id="39" name="Picture"/>
                    <pic:cNvPicPr>
                      <a:picLocks noChangeArrowheads="1" noChangeAspect="1"/>
                    </pic:cNvPicPr>
                  </pic:nvPicPr>
                  <pic:blipFill>
                    <a:blip r:embed="rId3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rPr>
          <w:iCs/>
          <w:i/>
          <w:bCs/>
          <w:b/>
        </w:rPr>
        <w:t xml:space="preserve">Figure 4. Annual woody mortality by species at the SCBI ForestGEO plot from 2008-2023.</w:t>
      </w:r>
      <w:r>
        <w:t xml:space="preserve"> </w:t>
      </w:r>
      <w:r>
        <w:t xml:space="preserve">Shown are the seven canopy taxa with highest average mortality rate in descending order and a category including all others. The census included all stems ≥ 10cm in the most recent full census.</w:t>
      </w:r>
    </w:p>
    <w:bookmarkEnd w:id="40"/>
    <w:bookmarkStart w:id="44" w:name="species-composition-of-recruitment-flux"/>
    <w:p>
      <w:pPr>
        <w:pStyle w:val="Heading2"/>
      </w:pPr>
      <w:r>
        <w:rPr>
          <w:rStyle w:val="SectionNumber"/>
        </w:rPr>
        <w:t xml:space="preserve">3.2</w:t>
      </w:r>
      <w:r>
        <w:tab/>
      </w:r>
      <w:r>
        <w:t xml:space="preserve">Species composition of recruitment flux</w:t>
      </w:r>
    </w:p>
    <w:p>
      <w:pPr>
        <w:pStyle w:val="FirstParagraph"/>
      </w:pPr>
      <w:r>
        <w:t xml:space="preserve">Certain species dominated aboveground woody recruitment, with understory species being recruited at higher rates than canopy species (Figure 5). Out of the canopy species, Carya species showed the highest levels of recruitment with a rate of</w:t>
      </w:r>
      <w:r>
        <w:t xml:space="preserve"> </w:t>
      </w:r>
      <w:r>
        <w:rPr>
          <w:bCs/>
          <w:b/>
        </w:rPr>
        <w:t xml:space="preserve">VALUE</w:t>
      </w:r>
      <w:r>
        <w:t xml:space="preserve"> </w:t>
      </w:r>
      <w:r>
        <w:t xml:space="preserve">Mg C/ha/year recruited from 2018 to 2023 (Figure 5a). Acer negundo had the second highest rate of recruitment for canopy species at</w:t>
      </w:r>
      <w:r>
        <w:t xml:space="preserve"> </w:t>
      </w:r>
      <w:r>
        <w:rPr>
          <w:bCs/>
          <w:b/>
        </w:rPr>
        <w:t xml:space="preserve">VALUE</w:t>
      </w:r>
      <w:r>
        <w:t xml:space="preserve"> </w:t>
      </w:r>
      <w:r>
        <w:t xml:space="preserve">Mg C/ha/year from 2018 to 2023. Fagus grandifolia, Fraxinus americana, and Ulmus rubra are the other species with the highest recruitment rates. Most canopy species had lower recruitment rates in the 2018 to 2023 census interval than the 2008 to 2013 interval. Lindera benzoin had by far the highest recruitment rate of the understory species at</w:t>
      </w:r>
      <w:r>
        <w:t xml:space="preserve"> </w:t>
      </w:r>
      <w:r>
        <w:rPr>
          <w:bCs/>
          <w:b/>
        </w:rPr>
        <w:t xml:space="preserve">VALUE</w:t>
      </w:r>
      <w:r>
        <w:t xml:space="preserve"> </w:t>
      </w:r>
      <w:r>
        <w:t xml:space="preserve">Mg C/ha/year from 2018 to 2023 (Figure 3b). Asimina triloba had the second highest rate of recruitment of the understory species at</w:t>
      </w:r>
      <w:r>
        <w:t xml:space="preserve"> </w:t>
      </w:r>
      <w:r>
        <w:rPr>
          <w:bCs/>
          <w:b/>
        </w:rPr>
        <w:t xml:space="preserve">VALUE</w:t>
      </w:r>
      <w:r>
        <w:t xml:space="preserve"> </w:t>
      </w:r>
      <w:r>
        <w:t xml:space="preserve">Mg C/ha/year recruited from 2018 to 2023. Other understory species with high recruitment were Carpinus caroliniana, Hamamelis virginiana, and Celtis occidentalis.</w:t>
      </w:r>
    </w:p>
    <w:p>
      <w:pPr>
        <w:pStyle w:val="CaptionedFigure"/>
      </w:pPr>
      <w:r>
        <w:drawing>
          <wp:inline>
            <wp:extent cx="3810000" cy="2540000"/>
            <wp:effectExtent b="0" l="0" r="0" t="0"/>
            <wp:docPr descr="Figure 5. Average annual recruitment (2008-2023) of canopy and understory tree species at the SCBI ForestGEO plot across habitats differentiated by intensity of deer browsing and 2008 abundance of canopy tree species vulnerable to non-indigenous pests and pathogens. Note that y-axes differ, with understory species recruitment &gt;20x that of canopy species recruitment." title="" id="42" name="Picture"/>
            <a:graphic>
              <a:graphicData uri="http://schemas.openxmlformats.org/drawingml/2006/picture">
                <pic:pic>
                  <pic:nvPicPr>
                    <pic:cNvPr descr="display/Figure5.jpe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habitats differentiated by intensity of deer browsing and 2008 abundance of canopy tree species vulnerable to non-indigenous pests and pathogens.</w:t>
      </w:r>
      <w:r>
        <w:t xml:space="preserve"> </w:t>
      </w:r>
      <w:r>
        <w:t xml:space="preserve">Note that y-axes differ, with understory species recruitment &gt;20x that of canopy species recruitment.</w:t>
      </w:r>
    </w:p>
    <w:bookmarkEnd w:id="44"/>
    <w:bookmarkStart w:id="48" w:name="regeneration-mortality-mismatch"/>
    <w:p>
      <w:pPr>
        <w:pStyle w:val="Heading2"/>
      </w:pPr>
      <w:r>
        <w:rPr>
          <w:rStyle w:val="SectionNumber"/>
        </w:rPr>
        <w:t xml:space="preserve">3.3</w:t>
      </w:r>
      <w:r>
        <w:tab/>
      </w:r>
      <w:r>
        <w:t xml:space="preserve">Regeneration &amp; mortality mismatch</w:t>
      </w:r>
    </w:p>
    <w:p>
      <w:pPr>
        <w:pStyle w:val="CaptionedFigure"/>
      </w:pPr>
      <w:r>
        <w:drawing>
          <wp:inline>
            <wp:extent cx="3810000" cy="2540000"/>
            <wp:effectExtent b="0" l="0" r="0" t="0"/>
            <wp:docPr descr="Figure 6." title="" id="46" name="Picture"/>
            <a:graphic>
              <a:graphicData uri="http://schemas.openxmlformats.org/drawingml/2006/picture">
                <pic:pic>
                  <pic:nvPicPr>
                    <pic:cNvPr descr="display/Figure6.jpe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w:t>
      </w:r>
    </w:p>
    <w:bookmarkEnd w:id="48"/>
    <w:bookmarkEnd w:id="49"/>
    <w:bookmarkStart w:id="50" w:name="discussion"/>
    <w:p>
      <w:pPr>
        <w:pStyle w:val="Heading1"/>
      </w:pPr>
      <w:r>
        <w:rPr>
          <w:rStyle w:val="SectionNumber"/>
        </w:rPr>
        <w:t xml:space="preserve">4</w:t>
      </w:r>
      <w:r>
        <w:tab/>
      </w:r>
      <w:r>
        <w:t xml:space="preserve">Discussion</w:t>
      </w:r>
    </w:p>
    <w:p>
      <w:pPr>
        <w:pStyle w:val="FirstParagraph"/>
      </w:pPr>
      <w:r>
        <w:t xml:space="preserve">We found that the combination of decreasing biomass (driven by increasing woody mortality) and limited recruitment of canopy species in the understory is compromising the potential the carbon sink, now and into the future.</w:t>
      </w:r>
      <w:r>
        <w:t xml:space="preserve"> </w:t>
      </w:r>
      <w:r>
        <w:t xml:space="preserve">Differences in AGB were the biggest in the regions of the plot with high vulnerability to nuisance species. These regions also had the lowest amount of canopy species in the understory. Areas with low deer population had the highest amount of canopy species in the understory.</w:t>
      </w:r>
      <w:r>
        <w:t xml:space="preserve"> </w:t>
      </w:r>
      <w:r>
        <w:t xml:space="preserve">Some of the plot is increasing biomass, notably those with low proportions of vulnerable species. On net, these increases are not outpacing mortality.</w:t>
      </w:r>
      <w:r>
        <w:t xml:space="preserve"> </w:t>
      </w:r>
      <w:r>
        <w:t xml:space="preserve">Suggests that the combination of heavy deer browsing on canopy species may be exacerbated in areas with canopy openings due to pathogen-derived mortality where understory species that are resistant to deer and fast growers can take advantage, further competing with canopy species.</w:t>
      </w:r>
      <w:r>
        <w:t xml:space="preserve"> </w:t>
      </w:r>
      <w:r>
        <w:t xml:space="preserve">While Emerald Ash-borer has had a large impact on biomass loss at our site, mortality among oak species, which is not linked to a non-indigenous pest, is substantial as well. Oak species in the region are generally found in older, even aged cohorts, which contributes to accelerated mortality rates (Oak et al., 2016). However, large oak mortality events, which often occur over protracted periods of time, have been common globally over the past century. These mortality events are often termed</w:t>
      </w:r>
      <w:r>
        <w:t xml:space="preserve"> </w:t>
      </w:r>
      <w:r>
        <w:t xml:space="preserve">“</w:t>
      </w:r>
      <w:r>
        <w:t xml:space="preserve">oak decline</w:t>
      </w:r>
      <w:r>
        <w:t xml:space="preserve">”</w:t>
      </w:r>
      <w:r>
        <w:t xml:space="preserve"> </w:t>
      </w:r>
      <w:r>
        <w:t xml:space="preserve">events due to the complex abiotic and biotic factors which interact to incite mortality (Manion and Lachance, 1992). Oak decline is believed to be the result of an imbalance in carbohydrate dynamics, which weakens oak trees’ resistance to pest and pathogen invasion, eventually leading to mortality (Manion and Lachance, 1992).</w:t>
      </w:r>
    </w:p>
    <w:p>
      <w:pPr>
        <w:pStyle w:val="BodyText"/>
      </w:pPr>
      <w:r>
        <w:t xml:space="preserve">Using current understory as a predictor of the future canopy is imperfect.</w:t>
      </w:r>
      <w:r>
        <w:t xml:space="preserve"> </w:t>
      </w:r>
      <w:r>
        <w:t xml:space="preserve">Some canopy species (examples) recruit in pulse events - if there is a shift in deer population and enough survival that coincides with a mast year than you could get regeneration into the canopy.</w:t>
      </w:r>
      <w:r>
        <w:t xml:space="preserve"> </w:t>
      </w:r>
      <w:r>
        <w:t xml:space="preserve">However, current recruitment levels are below a rate at which we would expect in maturing secondary forests and may be insufficient to prevent large periods without a close canopy.</w:t>
      </w:r>
      <w:r>
        <w:t xml:space="preserve"> </w:t>
      </w:r>
      <w:r>
        <w:t xml:space="preserve">Our data is from just the single site, which can make generalizability challenging. However, there is a lot of support that the drivers we identify here are representative of the region.</w:t>
      </w:r>
      <w:r>
        <w:t xml:space="preserve"> </w:t>
      </w:r>
      <w:r>
        <w:t xml:space="preserve">Mixed hardwood forests are typical of mid-Atlantic forests and deer populations are high throughout the region.</w:t>
      </w:r>
      <w:r>
        <w:t xml:space="preserve"> </w:t>
      </w:r>
      <w:r>
        <w:t xml:space="preserve">Vulnerable species (ash) are also common throughout these forests, and emerald ash borer continues to spread. Where it does spread it consistently decimates adult ash.</w:t>
      </w:r>
      <w:r>
        <w:t xml:space="preserve"> </w:t>
      </w:r>
      <w:r>
        <w:t xml:space="preserve">Our results underscore the importance of accounting for nuisance species in higher-level models and understanding of temperate forests.</w:t>
      </w:r>
      <w:r>
        <w:t xml:space="preserve"> </w:t>
      </w:r>
      <w:r>
        <w:t xml:space="preserve">Nuisance species (driven by human pressures/actions) interact with other anthropogenic changes to modify forest ecosystems.</w:t>
      </w:r>
      <w:r>
        <w:t xml:space="preserve"> </w:t>
      </w:r>
      <w:r>
        <w:t xml:space="preserve">Have the capacity to alter short-term dynamics: large carbon losses that would not be expected in models that don’t exclude it.</w:t>
      </w:r>
      <w:r>
        <w:t xml:space="preserve"> </w:t>
      </w:r>
      <w:r>
        <w:t xml:space="preserve">Longer-term have capacity to alter successional dynamics: can delay recovery from disturbances (including other disturbances) or even suppress regeneration into a closed-canopy for sustained periods.</w:t>
      </w:r>
      <w:r>
        <w:t xml:space="preserve"> </w:t>
      </w:r>
      <w:r>
        <w:t xml:space="preserve">Decrease resilience to other pressures as pests and pathogens decrease diversity through shrinking the number of possible canopy species.</w:t>
      </w:r>
      <w:r>
        <w:t xml:space="preserve"> </w:t>
      </w:r>
      <w:r>
        <w:t xml:space="preserve">Positive takeaways: this work highlights the potential of active management. Preserving the forests that we have is more valuable than planting new forests.</w:t>
      </w:r>
      <w:r>
        <w:t xml:space="preserve"> </w:t>
      </w:r>
      <w:r>
        <w:t xml:space="preserve">Pests and pathogens are driving mortality - may be opportunities for treatment/prevention of spread.</w:t>
      </w:r>
      <w:r>
        <w:t xml:space="preserve"> </w:t>
      </w:r>
      <w:r>
        <w:t xml:space="preserve">Research into natural immunity (ash species in original range of EAB have immunity).</w:t>
      </w:r>
      <w:r>
        <w:t xml:space="preserve"> </w:t>
      </w:r>
      <w:r>
        <w:t xml:space="preserve">Management of deer populations to decrease browsing pressure - deer exclosure shows the importance to maintain an understory.</w:t>
      </w:r>
    </w:p>
    <w:bookmarkEnd w:id="50"/>
    <w:bookmarkStart w:id="51" w:name="conclusions-future-directions"/>
    <w:p>
      <w:pPr>
        <w:pStyle w:val="Heading1"/>
      </w:pPr>
      <w:r>
        <w:rPr>
          <w:rStyle w:val="SectionNumber"/>
        </w:rPr>
        <w:t xml:space="preserve">5</w:t>
      </w:r>
      <w:r>
        <w:tab/>
      </w:r>
      <w:r>
        <w:t xml:space="preserve">Conclusions /Future Directions</w:t>
      </w:r>
    </w:p>
    <w:p>
      <w:pPr>
        <w:pStyle w:val="FirstParagraph"/>
      </w:pPr>
      <w:r>
        <w:t xml:space="preserve">Expand analyses across other temperate forests. Different forest compositions and herbivory dynamics, but many pests and pathogens. Leverage other forest dynamics sites to quantify the impact of nuisance species across large regions.</w:t>
      </w:r>
      <w:r>
        <w:t xml:space="preserve"> </w:t>
      </w:r>
      <w:r>
        <w:t xml:space="preserve">Investigate productivity responses of surviving canopy. We would expect survivors adjacent to gaps increase productivity as competition decreases, but may be hampered by climate change.</w:t>
      </w:r>
      <w:r>
        <w:t xml:space="preserve"> </w:t>
      </w:r>
      <w:r>
        <w:t xml:space="preserve">Interactions of global change drivers are critical to understand (though difficult to study).</w:t>
      </w:r>
    </w:p>
    <w:bookmarkEnd w:id="51"/>
    <w:bookmarkStart w:id="52" w:name="Acknowledgements"/>
    <w:p>
      <w:pPr>
        <w:pStyle w:val="Heading1"/>
      </w:pPr>
      <w:r>
        <w:t xml:space="preserve">Acknowledgements</w:t>
      </w:r>
    </w:p>
    <w:p>
      <w:pPr>
        <w:numPr>
          <w:ilvl w:val="0"/>
          <w:numId w:val="1002"/>
        </w:numPr>
        <w:pStyle w:val="Compact"/>
      </w:pPr>
      <w:r>
        <w:t xml:space="preserve">Funding: ForestGEO</w:t>
      </w:r>
    </w:p>
    <w:bookmarkEnd w:id="52"/>
    <w:bookmarkStart w:id="53" w:name="Conflict"/>
    <w:p>
      <w:pPr>
        <w:pStyle w:val="Heading1"/>
      </w:pPr>
      <w:r>
        <w:t xml:space="preserve">Competing Interests</w:t>
      </w:r>
    </w:p>
    <w:p>
      <w:pPr>
        <w:pStyle w:val="FirstParagraph"/>
      </w:pPr>
      <w:r>
        <w:t xml:space="preserve">The authors declare no conflict of interest.</w:t>
      </w:r>
    </w:p>
    <w:bookmarkEnd w:id="53"/>
    <w:bookmarkStart w:id="54" w:name="Authors"/>
    <w:p>
      <w:pPr>
        <w:pStyle w:val="Heading1"/>
      </w:pPr>
      <w:r>
        <w:t xml:space="preserve">Author Contributions</w:t>
      </w:r>
    </w:p>
    <w:p>
      <w:pPr>
        <w:pStyle w:val="FirstParagraph"/>
      </w:pPr>
      <w:r>
        <w:rPr>
          <w:iCs/>
          <w:i/>
        </w:rPr>
        <w:t xml:space="preserve">[Name of author 1] and [Name of author 2] conceived the ideas and designed methodology; [Name of author 1] and [Name of author 3] collected the data; [Name of author 2] and [Name of author 4] analysed the data; [Name of author 1] and [Name of author 4] led the writing of the manuscript. All authors contributed critically to the drafts and gave final approval for publication.</w:t>
      </w:r>
    </w:p>
    <w:bookmarkEnd w:id="54"/>
    <w:bookmarkStart w:id="55" w:name="Data"/>
    <w:p>
      <w:pPr>
        <w:pStyle w:val="Heading1"/>
      </w:pPr>
      <w:r>
        <w:t xml:space="preserve">Data availability</w:t>
      </w:r>
    </w:p>
    <w:p>
      <w:r>
        <w:br w:type="page"/>
      </w:r>
    </w:p>
    <w:bookmarkEnd w:id="55"/>
    <w:bookmarkStart w:id="87" w:name="references"/>
    <w:p>
      <w:pPr>
        <w:pStyle w:val="Heading1"/>
      </w:pPr>
      <w:r>
        <w:t xml:space="preserve">References</w:t>
      </w:r>
    </w:p>
    <w:bookmarkStart w:id="86" w:name="refs"/>
    <w:bookmarkStart w:id="57" w:name="ref-ahlströ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6">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7"/>
    <w:bookmarkStart w:id="59"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58">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59"/>
    <w:bookmarkStart w:id="61"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0">
        <w:r>
          <w:rPr>
            <w:rStyle w:val="Hyperlink"/>
          </w:rPr>
          <w:t xml:space="preserve">Carbon</w:t>
        </w:r>
        <w:r>
          <w:rPr>
            <w:rStyle w:val="Hyperlink"/>
          </w:rPr>
          <w:t xml:space="preserve"> </w:t>
        </w:r>
        <w:r>
          <w:rPr>
            <w:rStyle w:val="Hyperlink"/>
          </w:rPr>
          <w:t xml:space="preserve">concentration and carbon</w:t>
        </w:r>
        <w:r>
          <w:rPr>
            <w:rStyle w:val="Hyperlink"/>
          </w:rPr>
          <w:t xml:space="preserve"> </w:t>
        </w:r>
        <w:r>
          <w:rPr>
            <w:rStyle w:val="Hyperlink"/>
          </w:rPr>
          <w:t xml:space="preserve">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w:t>
      </w:r>
      <w:r>
        <w:t xml:space="preserve"> </w:t>
      </w:r>
      <w:r>
        <w:rPr>
          <w:bCs/>
          <w:b/>
        </w:rPr>
        <w:t xml:space="preserve">17</w:t>
      </w:r>
      <w:r>
        <w:t xml:space="preserve">: 4173–4222.</w:t>
      </w:r>
    </w:p>
    <w:bookmarkEnd w:id="61"/>
    <w:bookmarkStart w:id="63"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2">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63"/>
    <w:bookmarkStart w:id="65"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w:t>
      </w:r>
      <w:r>
        <w:t xml:space="preserve"> </w:t>
      </w:r>
      <w:hyperlink r:id="rId64">
        <w:r>
          <w:rPr>
            <w:rStyle w:val="Hyperlink"/>
          </w:rPr>
          <w:t xml:space="preserve">Moving beyond photosynthesis: From carbon source to sink-driven vegetation modeling</w:t>
        </w:r>
      </w:hyperlink>
      <w:r>
        <w:t xml:space="preserve">.</w:t>
      </w:r>
      <w:r>
        <w:t xml:space="preserve"> </w:t>
      </w:r>
      <w:r>
        <w:rPr>
          <w:iCs/>
          <w:i/>
        </w:rPr>
        <w:t xml:space="preserve">The New Phytologist</w:t>
      </w:r>
      <w:r>
        <w:t xml:space="preserve"> </w:t>
      </w:r>
      <w:r>
        <w:rPr>
          <w:bCs/>
          <w:b/>
        </w:rPr>
        <w:t xml:space="preserve">201</w:t>
      </w:r>
      <w:r>
        <w:t xml:space="preserve">: 1086–1095.</w:t>
      </w:r>
    </w:p>
    <w:bookmarkEnd w:id="65"/>
    <w:bookmarkStart w:id="67"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6">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67"/>
    <w:bookmarkStart w:id="69"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Bruin S de</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8">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69"/>
    <w:bookmarkStart w:id="71"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70">
        <w:r>
          <w:rPr>
            <w:rStyle w:val="Hyperlink"/>
          </w:rPr>
          <w:t xml:space="preserve">Pervasive shifts in forest dynamics in a changing world</w:t>
        </w:r>
      </w:hyperlink>
      <w:r>
        <w:t xml:space="preserve">.</w:t>
      </w:r>
      <w:r>
        <w:t xml:space="preserve"> </w:t>
      </w:r>
      <w:r>
        <w:rPr>
          <w:iCs/>
          <w:i/>
        </w:rPr>
        <w:t xml:space="preserve">Science</w:t>
      </w:r>
      <w:r>
        <w:t xml:space="preserve"> </w:t>
      </w:r>
      <w:r>
        <w:rPr>
          <w:bCs/>
          <w:b/>
        </w:rPr>
        <w:t xml:space="preserve">368</w:t>
      </w:r>
      <w:r>
        <w:t xml:space="preserve">.</w:t>
      </w:r>
    </w:p>
    <w:bookmarkEnd w:id="71"/>
    <w:bookmarkStart w:id="73" w:name="ref-mcgregor_tree_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2">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73"/>
    <w:bookmarkStart w:id="75"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74">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75"/>
    <w:bookmarkStart w:id="77"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76">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77"/>
    <w:bookmarkStart w:id="79"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78">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79"/>
    <w:bookmarkStart w:id="81"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80">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81"/>
    <w:bookmarkStart w:id="83"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82">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83"/>
    <w:bookmarkStart w:id="85"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84">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85"/>
    <w:bookmarkEnd w:id="86"/>
    <w:bookmarkEnd w:id="87"/>
    <w:bookmarkStart w:id="88" w:name="supporting-information"/>
    <w:p>
      <w:pPr>
        <w:pStyle w:val="Heading1"/>
      </w:pPr>
      <w:r>
        <w:rPr>
          <w:rStyle w:val="SectionNumber"/>
        </w:rPr>
        <w:t xml:space="preserve">6</w:t>
      </w:r>
      <w:r>
        <w:tab/>
      </w:r>
      <w:r>
        <w:t xml:space="preserve">Supporting Information</w:t>
      </w:r>
    </w:p>
    <w:bookmarkEnd w:id="88"/>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hyperlink" Id="rId76" Target="https://doi.org/10.1002/eap.2837" TargetMode="External" /><Relationship Type="http://schemas.openxmlformats.org/officeDocument/2006/relationships/hyperlink" Id="rId66" Target="https://doi.org/10.1007/s10530-021-02551-2" TargetMode="External" /><Relationship Type="http://schemas.openxmlformats.org/officeDocument/2006/relationships/hyperlink" Id="rId82" Target="https://doi.org/10.1016/j.foreco.2016.10.038" TargetMode="External" /><Relationship Type="http://schemas.openxmlformats.org/officeDocument/2006/relationships/hyperlink" Id="rId62" Target="https://doi.org/10.1038/s41467-020-20836-3" TargetMode="External" /><Relationship Type="http://schemas.openxmlformats.org/officeDocument/2006/relationships/hyperlink" Id="rId68" Target="https://doi.org/10.1038/s41558-020-00976-6" TargetMode="External" /><Relationship Type="http://schemas.openxmlformats.org/officeDocument/2006/relationships/hyperlink" Id="rId84" Target="https://doi.org/10.1038/s41561-023-01166-7" TargetMode="External" /><Relationship Type="http://schemas.openxmlformats.org/officeDocument/2006/relationships/hyperlink" Id="rId80" Target="https://doi.org/10.1073/pnas.1810512116" TargetMode="External" /><Relationship Type="http://schemas.openxmlformats.org/officeDocument/2006/relationships/hyperlink" Id="rId56" Target="https://doi.org/10.1088/1748-9326/7/4/044008" TargetMode="External" /><Relationship Type="http://schemas.openxmlformats.org/officeDocument/2006/relationships/hyperlink" Id="rId74" Target="https://doi.org/10.1111/1365-2664.13375" TargetMode="External" /><Relationship Type="http://schemas.openxmlformats.org/officeDocument/2006/relationships/hyperlink" Id="rId58" Target="https://doi.org/10.1111/gcb.12194" TargetMode="External" /><Relationship Type="http://schemas.openxmlformats.org/officeDocument/2006/relationships/hyperlink" Id="rId78" Target="https://doi.org/10.1111/gcb.12663" TargetMode="External" /><Relationship Type="http://schemas.openxmlformats.org/officeDocument/2006/relationships/hyperlink" Id="rId72" Target="https://doi.org/10.1111/nph.16996" TargetMode="External" /><Relationship Type="http://schemas.openxmlformats.org/officeDocument/2006/relationships/hyperlink" Id="rId70" Target="https://doi.org/10.1126/science.aaz9463" TargetMode="External" /><Relationship Type="http://schemas.openxmlformats.org/officeDocument/2006/relationships/hyperlink" Id="rId60" Target="https://doi.org/10.5194/bg-17-4173-2020" TargetMode="External" /><Relationship Type="http://schemas.openxmlformats.org/officeDocument/2006/relationships/hyperlink" Id="rId64" Target="https://www.jstor.org/stable/newphytologist.201.4.1086"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002/eap.2837" TargetMode="External" /><Relationship Type="http://schemas.openxmlformats.org/officeDocument/2006/relationships/hyperlink" Id="rId66" Target="https://doi.org/10.1007/s10530-021-02551-2" TargetMode="External" /><Relationship Type="http://schemas.openxmlformats.org/officeDocument/2006/relationships/hyperlink" Id="rId82" Target="https://doi.org/10.1016/j.foreco.2016.10.038" TargetMode="External" /><Relationship Type="http://schemas.openxmlformats.org/officeDocument/2006/relationships/hyperlink" Id="rId62" Target="https://doi.org/10.1038/s41467-020-20836-3" TargetMode="External" /><Relationship Type="http://schemas.openxmlformats.org/officeDocument/2006/relationships/hyperlink" Id="rId68" Target="https://doi.org/10.1038/s41558-020-00976-6" TargetMode="External" /><Relationship Type="http://schemas.openxmlformats.org/officeDocument/2006/relationships/hyperlink" Id="rId84" Target="https://doi.org/10.1038/s41561-023-01166-7" TargetMode="External" /><Relationship Type="http://schemas.openxmlformats.org/officeDocument/2006/relationships/hyperlink" Id="rId80" Target="https://doi.org/10.1073/pnas.1810512116" TargetMode="External" /><Relationship Type="http://schemas.openxmlformats.org/officeDocument/2006/relationships/hyperlink" Id="rId56" Target="https://doi.org/10.1088/1748-9326/7/4/044008" TargetMode="External" /><Relationship Type="http://schemas.openxmlformats.org/officeDocument/2006/relationships/hyperlink" Id="rId74" Target="https://doi.org/10.1111/1365-2664.13375" TargetMode="External" /><Relationship Type="http://schemas.openxmlformats.org/officeDocument/2006/relationships/hyperlink" Id="rId58" Target="https://doi.org/10.1111/gcb.12194" TargetMode="External" /><Relationship Type="http://schemas.openxmlformats.org/officeDocument/2006/relationships/hyperlink" Id="rId78" Target="https://doi.org/10.1111/gcb.12663" TargetMode="External" /><Relationship Type="http://schemas.openxmlformats.org/officeDocument/2006/relationships/hyperlink" Id="rId72" Target="https://doi.org/10.1111/nph.16996" TargetMode="External" /><Relationship Type="http://schemas.openxmlformats.org/officeDocument/2006/relationships/hyperlink" Id="rId70" Target="https://doi.org/10.1126/science.aaz9463" TargetMode="External" /><Relationship Type="http://schemas.openxmlformats.org/officeDocument/2006/relationships/hyperlink" Id="rId60" Target="https://doi.org/10.5194/bg-17-4173-2020" TargetMode="External" /><Relationship Type="http://schemas.openxmlformats.org/officeDocument/2006/relationships/hyperlink" Id="rId64" Target="https://www.jstor.org/stable/newphytologist.201.4.1086"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2024-03-21T17:08:13Z</dcterms:created>
  <dcterms:modified xsi:type="dcterms:W3CDTF">2024-03-21T17:08:13Z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new-phytologist.csl</vt:lpwstr>
  </property>
  <property fmtid="{D5CDD505-2E9C-101B-9397-08002B2CF9AE}" pid="4" name="output">
    <vt:lpwstr/>
  </property>
</Properties>
</file>